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3E332" w14:textId="77777777" w:rsidR="00837AF7" w:rsidRDefault="00837AF7" w:rsidP="00376CA2">
      <w:pPr>
        <w:spacing w:before="12"/>
        <w:ind w:left="20"/>
        <w:jc w:val="center"/>
        <w:rPr>
          <w:rFonts w:asciiTheme="minorHAnsi" w:hAnsiTheme="minorHAnsi" w:cstheme="minorHAnsi"/>
          <w:sz w:val="24"/>
          <w:szCs w:val="24"/>
        </w:rPr>
      </w:pPr>
    </w:p>
    <w:p w14:paraId="5F7291A1" w14:textId="77777777" w:rsidR="00837AF7" w:rsidRDefault="00837AF7" w:rsidP="00376CA2">
      <w:pPr>
        <w:spacing w:before="12"/>
        <w:ind w:left="20"/>
        <w:jc w:val="center"/>
        <w:rPr>
          <w:rFonts w:asciiTheme="minorHAnsi" w:hAnsiTheme="minorHAnsi" w:cstheme="minorHAnsi"/>
          <w:sz w:val="24"/>
          <w:szCs w:val="24"/>
        </w:rPr>
      </w:pPr>
    </w:p>
    <w:p w14:paraId="04B4D384" w14:textId="77777777" w:rsidR="007537E1" w:rsidRPr="001F48A0" w:rsidRDefault="007537E1" w:rsidP="007537E1">
      <w:pPr>
        <w:spacing w:before="12"/>
        <w:ind w:left="20"/>
        <w:jc w:val="center"/>
        <w:rPr>
          <w:sz w:val="24"/>
          <w:szCs w:val="24"/>
        </w:rPr>
      </w:pPr>
      <w:r w:rsidRPr="001F48A0">
        <w:rPr>
          <w:sz w:val="24"/>
          <w:szCs w:val="24"/>
        </w:rPr>
        <w:t>SONOMA COUNTY OPEN SPACE FISCAL OVERSIGHT COMMISSION</w:t>
      </w:r>
    </w:p>
    <w:p w14:paraId="2823347D" w14:textId="77777777" w:rsidR="007537E1" w:rsidRPr="001F48A0" w:rsidRDefault="007537E1" w:rsidP="007537E1">
      <w:pPr>
        <w:pStyle w:val="Heading2"/>
        <w:jc w:val="center"/>
        <w:rPr>
          <w:rFonts w:ascii="Calibri" w:hAnsi="Calibri" w:cs="Calibri"/>
          <w:b/>
          <w:color w:val="auto"/>
          <w:sz w:val="24"/>
          <w:szCs w:val="24"/>
        </w:rPr>
      </w:pPr>
      <w:r w:rsidRPr="001F48A0">
        <w:rPr>
          <w:rFonts w:ascii="Calibri" w:hAnsi="Calibri" w:cs="Calibri"/>
          <w:b/>
          <w:color w:val="auto"/>
          <w:sz w:val="24"/>
          <w:szCs w:val="24"/>
        </w:rPr>
        <w:t>COMMISSIONERS</w:t>
      </w:r>
    </w:p>
    <w:p w14:paraId="69A16877" w14:textId="77777777" w:rsidR="007537E1" w:rsidRPr="001F48A0" w:rsidRDefault="007537E1" w:rsidP="007537E1">
      <w:pPr>
        <w:tabs>
          <w:tab w:val="left" w:pos="360"/>
          <w:tab w:val="left" w:pos="7740"/>
        </w:tabs>
        <w:ind w:left="1152"/>
        <w:rPr>
          <w:b/>
          <w:bCs/>
          <w:sz w:val="20"/>
          <w:szCs w:val="20"/>
        </w:rPr>
      </w:pPr>
      <w:r w:rsidRPr="001F48A0">
        <w:rPr>
          <w:b/>
          <w:bCs/>
          <w:sz w:val="20"/>
          <w:szCs w:val="20"/>
        </w:rPr>
        <w:t xml:space="preserve">Mike Sangiacomo                                                                                        </w:t>
      </w:r>
      <w:r w:rsidRPr="001F48A0">
        <w:tab/>
      </w:r>
      <w:r w:rsidRPr="001F48A0">
        <w:rPr>
          <w:b/>
          <w:bCs/>
          <w:sz w:val="20"/>
          <w:szCs w:val="20"/>
        </w:rPr>
        <w:t>Patrick Emery</w:t>
      </w:r>
    </w:p>
    <w:p w14:paraId="70317AE3" w14:textId="77777777" w:rsidR="007537E1" w:rsidRPr="001F48A0" w:rsidRDefault="007537E1" w:rsidP="007537E1">
      <w:pPr>
        <w:tabs>
          <w:tab w:val="left" w:pos="360"/>
          <w:tab w:val="left" w:pos="7740"/>
        </w:tabs>
        <w:ind w:left="1152"/>
        <w:rPr>
          <w:b/>
          <w:bCs/>
          <w:sz w:val="20"/>
          <w:szCs w:val="20"/>
        </w:rPr>
      </w:pPr>
      <w:r w:rsidRPr="001F48A0">
        <w:rPr>
          <w:b/>
          <w:bCs/>
          <w:sz w:val="20"/>
          <w:szCs w:val="20"/>
        </w:rPr>
        <w:t xml:space="preserve">Todd Mendoza                                                                                          </w:t>
      </w:r>
      <w:r w:rsidRPr="001F48A0">
        <w:tab/>
      </w:r>
      <w:r w:rsidRPr="001F48A0">
        <w:rPr>
          <w:b/>
          <w:bCs/>
          <w:sz w:val="20"/>
          <w:szCs w:val="20"/>
        </w:rPr>
        <w:t xml:space="preserve">Jorge Inocencio </w:t>
      </w:r>
    </w:p>
    <w:p w14:paraId="3544589E" w14:textId="77777777" w:rsidR="007537E1" w:rsidRPr="001F48A0" w:rsidRDefault="007537E1" w:rsidP="007537E1">
      <w:pPr>
        <w:tabs>
          <w:tab w:val="left" w:pos="360"/>
          <w:tab w:val="left" w:pos="7740"/>
        </w:tabs>
        <w:ind w:left="1152"/>
        <w:rPr>
          <w:b/>
          <w:bCs/>
          <w:sz w:val="20"/>
          <w:szCs w:val="20"/>
        </w:rPr>
      </w:pPr>
      <w:r w:rsidRPr="001F48A0">
        <w:rPr>
          <w:b/>
          <w:bCs/>
          <w:sz w:val="20"/>
          <w:szCs w:val="20"/>
        </w:rPr>
        <w:t xml:space="preserve">Brian Ling                                                                                              </w:t>
      </w:r>
      <w:r w:rsidRPr="001F48A0">
        <w:tab/>
      </w:r>
      <w:r w:rsidRPr="001F48A0">
        <w:rPr>
          <w:b/>
          <w:bCs/>
          <w:sz w:val="20"/>
          <w:szCs w:val="20"/>
        </w:rPr>
        <w:t xml:space="preserve">Jeff Owen </w:t>
      </w:r>
    </w:p>
    <w:p w14:paraId="4ECED34D" w14:textId="48C37A53" w:rsidR="00376CA2" w:rsidRPr="001F48A0" w:rsidRDefault="2CA3B3D0" w:rsidP="00376CA2">
      <w:pPr>
        <w:spacing w:before="59" w:line="278" w:lineRule="auto"/>
        <w:jc w:val="center"/>
        <w:rPr>
          <w:b/>
          <w:bCs/>
          <w:color w:val="9A9B32"/>
          <w:sz w:val="28"/>
          <w:szCs w:val="28"/>
        </w:rPr>
      </w:pPr>
      <w:r w:rsidRPr="001F48A0">
        <w:rPr>
          <w:b/>
          <w:bCs/>
          <w:color w:val="9A9B32"/>
          <w:sz w:val="28"/>
          <w:szCs w:val="28"/>
        </w:rPr>
        <w:t>UN</w:t>
      </w:r>
      <w:r w:rsidR="00376CA2" w:rsidRPr="001F48A0">
        <w:rPr>
          <w:b/>
          <w:bCs/>
          <w:color w:val="9A9B32"/>
          <w:sz w:val="28"/>
          <w:szCs w:val="28"/>
        </w:rPr>
        <w:t>APPROVED MINUTES</w:t>
      </w:r>
    </w:p>
    <w:p w14:paraId="6F8D16A6" w14:textId="44714F9E" w:rsidR="00376CA2" w:rsidRPr="001F48A0" w:rsidRDefault="00376CA2" w:rsidP="00376CA2">
      <w:pPr>
        <w:spacing w:before="59" w:line="278" w:lineRule="auto"/>
        <w:jc w:val="center"/>
        <w:rPr>
          <w:b/>
          <w:bCs/>
          <w:spacing w:val="18"/>
          <w:sz w:val="21"/>
          <w:szCs w:val="21"/>
        </w:rPr>
      </w:pPr>
      <w:r w:rsidRPr="001F48A0">
        <w:rPr>
          <w:b/>
          <w:bCs/>
          <w:spacing w:val="29"/>
          <w:sz w:val="21"/>
          <w:szCs w:val="21"/>
        </w:rPr>
        <w:t xml:space="preserve">June 5, </w:t>
      </w:r>
      <w:proofErr w:type="gramStart"/>
      <w:r w:rsidRPr="001F48A0">
        <w:rPr>
          <w:b/>
          <w:bCs/>
          <w:spacing w:val="29"/>
          <w:sz w:val="21"/>
          <w:szCs w:val="21"/>
        </w:rPr>
        <w:t>2025</w:t>
      </w:r>
      <w:proofErr w:type="gramEnd"/>
      <w:r w:rsidRPr="001F48A0">
        <w:rPr>
          <w:b/>
          <w:bCs/>
          <w:spacing w:val="50"/>
          <w:sz w:val="21"/>
          <w:szCs w:val="21"/>
        </w:rPr>
        <w:t xml:space="preserve"> </w:t>
      </w:r>
      <w:r w:rsidRPr="001F48A0">
        <w:rPr>
          <w:b/>
          <w:bCs/>
          <w:sz w:val="21"/>
          <w:szCs w:val="21"/>
        </w:rPr>
        <w:t xml:space="preserve">| </w:t>
      </w:r>
      <w:r w:rsidRPr="001F48A0">
        <w:rPr>
          <w:rFonts w:eastAsiaTheme="minorEastAsia"/>
          <w:b/>
          <w:bCs/>
          <w:sz w:val="21"/>
          <w:szCs w:val="21"/>
        </w:rPr>
        <w:t>5:00 pm</w:t>
      </w:r>
    </w:p>
    <w:p w14:paraId="0168970C" w14:textId="77777777" w:rsidR="00943E5C" w:rsidRPr="001F48A0" w:rsidRDefault="00943E5C" w:rsidP="00943E5C">
      <w:pPr>
        <w:pStyle w:val="BodyText"/>
        <w:rPr>
          <w:b/>
          <w:sz w:val="11"/>
        </w:rPr>
      </w:pPr>
      <w:r w:rsidRPr="001F48A0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807C6B7" wp14:editId="5D5F4969">
                <wp:simplePos x="0" y="0"/>
                <wp:positionH relativeFrom="page">
                  <wp:posOffset>848360</wp:posOffset>
                </wp:positionH>
                <wp:positionV relativeFrom="paragraph">
                  <wp:posOffset>113665</wp:posOffset>
                </wp:positionV>
                <wp:extent cx="6242050" cy="0"/>
                <wp:effectExtent l="10160" t="6350" r="5715" b="12700"/>
                <wp:wrapTopAndBottom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20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7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5pt" from="66.8pt,8.95pt" to="558.3pt,8.95pt" w14:anchorId="1D789B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">
                <w10:wrap type="topAndBottom" anchorx="page"/>
              </v:line>
            </w:pict>
          </mc:Fallback>
        </mc:AlternateContent>
      </w:r>
    </w:p>
    <w:p w14:paraId="2477476E" w14:textId="77777777" w:rsidR="00943E5C" w:rsidRPr="001F48A0" w:rsidRDefault="00943E5C" w:rsidP="00943E5C">
      <w:pPr>
        <w:pStyle w:val="BodyText"/>
        <w:spacing w:before="6"/>
        <w:rPr>
          <w:b/>
        </w:rPr>
      </w:pPr>
    </w:p>
    <w:p w14:paraId="0EFC16EA" w14:textId="49EB7B38" w:rsidR="00943E5C" w:rsidRPr="001F48A0" w:rsidRDefault="00943E5C" w:rsidP="00943E5C">
      <w:pPr>
        <w:pStyle w:val="BodyText"/>
        <w:spacing w:before="6"/>
      </w:pPr>
      <w:r w:rsidRPr="001F48A0">
        <w:rPr>
          <w:b/>
          <w:bCs/>
        </w:rPr>
        <w:t>COMMISSIONERS PRESENT:</w:t>
      </w:r>
      <w:r w:rsidRPr="001F48A0">
        <w:t xml:space="preserve">  </w:t>
      </w:r>
      <w:r w:rsidR="0022419D" w:rsidRPr="001F48A0">
        <w:t xml:space="preserve">Todd Mendoza, </w:t>
      </w:r>
      <w:r w:rsidR="00A017EE" w:rsidRPr="001F48A0">
        <w:t>Brian Ling, Jeff Owen</w:t>
      </w:r>
    </w:p>
    <w:p w14:paraId="41057D82" w14:textId="77777777" w:rsidR="00A017EE" w:rsidRPr="001F48A0" w:rsidRDefault="00A017EE" w:rsidP="00943E5C">
      <w:pPr>
        <w:pStyle w:val="BodyText"/>
        <w:spacing w:before="6"/>
      </w:pPr>
    </w:p>
    <w:p w14:paraId="0B17342E" w14:textId="67758076" w:rsidR="00C104ED" w:rsidRPr="001F48A0" w:rsidRDefault="00721C25">
      <w:r w:rsidRPr="001F48A0">
        <w:rPr>
          <w:b/>
          <w:bCs/>
        </w:rPr>
        <w:t>STAFF PRESENT:</w:t>
      </w:r>
      <w:r w:rsidR="00440E13" w:rsidRPr="001F48A0">
        <w:rPr>
          <w:b/>
          <w:bCs/>
        </w:rPr>
        <w:t xml:space="preserve"> </w:t>
      </w:r>
      <w:r w:rsidR="00440E13" w:rsidRPr="001F48A0">
        <w:t>Misti Arias, General Manager;</w:t>
      </w:r>
      <w:r w:rsidR="00440E13" w:rsidRPr="001F48A0">
        <w:rPr>
          <w:b/>
          <w:bCs/>
        </w:rPr>
        <w:t xml:space="preserve"> </w:t>
      </w:r>
      <w:r w:rsidR="00440E13" w:rsidRPr="001F48A0">
        <w:t>Lisa Pheatt, County Counsel; Julie Mefferd, Administrative and Fiscal Manager; Jennifer Kuszmar, Acquisition Manager;</w:t>
      </w:r>
      <w:r w:rsidR="006943D9" w:rsidRPr="001F48A0">
        <w:t xml:space="preserve"> Stephanie Ta</w:t>
      </w:r>
      <w:r w:rsidR="00B75A11" w:rsidRPr="001F48A0">
        <w:t>vares</w:t>
      </w:r>
      <w:r w:rsidR="00C73A03" w:rsidRPr="001F48A0">
        <w:t xml:space="preserve">, Senior </w:t>
      </w:r>
      <w:r w:rsidR="0060002E" w:rsidRPr="001F48A0">
        <w:t>Acquisition Specialist</w:t>
      </w:r>
      <w:r w:rsidR="00C73A03" w:rsidRPr="001F48A0">
        <w:t>;</w:t>
      </w:r>
      <w:r w:rsidR="0060002E" w:rsidRPr="001F48A0">
        <w:t xml:space="preserve"> </w:t>
      </w:r>
      <w:r w:rsidR="00C73A03" w:rsidRPr="001F48A0">
        <w:t>Michelle Nozzari, Administrative Aid</w:t>
      </w:r>
      <w:r w:rsidR="001F48A0">
        <w:t>e.</w:t>
      </w:r>
    </w:p>
    <w:p w14:paraId="5A15DD9B" w14:textId="77777777" w:rsidR="0060002E" w:rsidRPr="001F48A0" w:rsidRDefault="0060002E"/>
    <w:p w14:paraId="42F71301" w14:textId="77777777" w:rsidR="002D3C2D" w:rsidRPr="001F48A0" w:rsidRDefault="002D3C2D" w:rsidP="002D3C2D">
      <w:pPr>
        <w:pStyle w:val="ListParagraph"/>
        <w:numPr>
          <w:ilvl w:val="0"/>
          <w:numId w:val="3"/>
        </w:numPr>
        <w:tabs>
          <w:tab w:val="left" w:pos="581"/>
        </w:tabs>
        <w:ind w:hanging="360"/>
        <w:contextualSpacing w:val="0"/>
        <w:rPr>
          <w:b/>
          <w:color w:val="818181"/>
        </w:rPr>
      </w:pPr>
      <w:r w:rsidRPr="001F48A0">
        <w:rPr>
          <w:b/>
          <w:color w:val="808080"/>
          <w:spacing w:val="14"/>
        </w:rPr>
        <w:t xml:space="preserve">Call </w:t>
      </w:r>
      <w:r w:rsidRPr="001F48A0">
        <w:rPr>
          <w:b/>
          <w:color w:val="808080"/>
          <w:spacing w:val="10"/>
        </w:rPr>
        <w:t>to</w:t>
      </w:r>
      <w:r w:rsidRPr="001F48A0">
        <w:rPr>
          <w:b/>
          <w:color w:val="808080"/>
          <w:spacing w:val="1"/>
        </w:rPr>
        <w:t xml:space="preserve"> </w:t>
      </w:r>
      <w:r w:rsidRPr="001F48A0">
        <w:rPr>
          <w:b/>
          <w:color w:val="808080"/>
          <w:spacing w:val="18"/>
        </w:rPr>
        <w:t>Order</w:t>
      </w:r>
    </w:p>
    <w:p w14:paraId="1BA0D958" w14:textId="74F60739" w:rsidR="002D3C2D" w:rsidRPr="001F48A0" w:rsidRDefault="002D3C2D" w:rsidP="002D3C2D">
      <w:pPr>
        <w:tabs>
          <w:tab w:val="left" w:pos="581"/>
        </w:tabs>
        <w:ind w:left="580"/>
      </w:pPr>
      <w:r w:rsidRPr="001F48A0">
        <w:t xml:space="preserve">Commissioner </w:t>
      </w:r>
      <w:r w:rsidR="007A2F92" w:rsidRPr="001F48A0">
        <w:t>Mendoza</w:t>
      </w:r>
      <w:r w:rsidRPr="001F48A0">
        <w:t xml:space="preserve"> called the meeting to order at 5:00 p.m.</w:t>
      </w:r>
    </w:p>
    <w:p w14:paraId="392B229A" w14:textId="77777777" w:rsidR="007A2F92" w:rsidRPr="001F48A0" w:rsidRDefault="007A2F92" w:rsidP="002D3C2D">
      <w:pPr>
        <w:tabs>
          <w:tab w:val="left" w:pos="581"/>
        </w:tabs>
        <w:ind w:left="580"/>
      </w:pPr>
    </w:p>
    <w:p w14:paraId="5365E040" w14:textId="77777777" w:rsidR="007A2F92" w:rsidRPr="001F48A0" w:rsidRDefault="007A2F92" w:rsidP="007A2F92">
      <w:pPr>
        <w:pStyle w:val="ListParagraph"/>
        <w:numPr>
          <w:ilvl w:val="0"/>
          <w:numId w:val="3"/>
        </w:numPr>
        <w:tabs>
          <w:tab w:val="left" w:pos="581"/>
        </w:tabs>
        <w:ind w:hanging="360"/>
        <w:contextualSpacing w:val="0"/>
        <w:rPr>
          <w:b/>
          <w:color w:val="808080"/>
        </w:rPr>
      </w:pPr>
      <w:r w:rsidRPr="001F48A0">
        <w:rPr>
          <w:b/>
          <w:color w:val="808080"/>
          <w:spacing w:val="15"/>
        </w:rPr>
        <w:t xml:space="preserve">Agenda Items </w:t>
      </w:r>
      <w:r w:rsidRPr="001F48A0">
        <w:rPr>
          <w:b/>
          <w:color w:val="808080"/>
          <w:spacing w:val="10"/>
        </w:rPr>
        <w:t xml:space="preserve">to </w:t>
      </w:r>
      <w:r w:rsidRPr="001F48A0">
        <w:rPr>
          <w:b/>
          <w:color w:val="808080"/>
          <w:spacing w:val="9"/>
        </w:rPr>
        <w:t xml:space="preserve">be </w:t>
      </w:r>
      <w:r w:rsidRPr="001F48A0">
        <w:rPr>
          <w:b/>
          <w:color w:val="808080"/>
          <w:spacing w:val="15"/>
        </w:rPr>
        <w:t xml:space="preserve">Held </w:t>
      </w:r>
      <w:r w:rsidRPr="001F48A0">
        <w:rPr>
          <w:b/>
          <w:color w:val="808080"/>
          <w:spacing w:val="9"/>
        </w:rPr>
        <w:t xml:space="preserve">or </w:t>
      </w:r>
      <w:r w:rsidRPr="001F48A0">
        <w:rPr>
          <w:b/>
          <w:color w:val="808080"/>
          <w:spacing w:val="15"/>
        </w:rPr>
        <w:t xml:space="preserve">Taken </w:t>
      </w:r>
      <w:r w:rsidRPr="001F48A0">
        <w:rPr>
          <w:b/>
          <w:color w:val="808080"/>
          <w:spacing w:val="12"/>
        </w:rPr>
        <w:t xml:space="preserve">Out </w:t>
      </w:r>
      <w:r w:rsidRPr="001F48A0">
        <w:rPr>
          <w:b/>
          <w:color w:val="808080"/>
          <w:spacing w:val="9"/>
        </w:rPr>
        <w:t xml:space="preserve">of </w:t>
      </w:r>
      <w:r w:rsidRPr="001F48A0">
        <w:rPr>
          <w:b/>
          <w:color w:val="808080"/>
          <w:spacing w:val="15"/>
        </w:rPr>
        <w:t xml:space="preserve">Order; </w:t>
      </w:r>
      <w:r w:rsidRPr="001F48A0">
        <w:rPr>
          <w:b/>
          <w:color w:val="808080"/>
          <w:spacing w:val="14"/>
        </w:rPr>
        <w:t xml:space="preserve">Off- </w:t>
      </w:r>
      <w:r w:rsidRPr="001F48A0">
        <w:rPr>
          <w:b/>
          <w:color w:val="808080"/>
          <w:spacing w:val="16"/>
        </w:rPr>
        <w:t>Agenda</w:t>
      </w:r>
      <w:r w:rsidRPr="001F48A0">
        <w:rPr>
          <w:b/>
          <w:color w:val="808080"/>
          <w:spacing w:val="-19"/>
        </w:rPr>
        <w:t xml:space="preserve"> </w:t>
      </w:r>
      <w:r w:rsidRPr="001F48A0">
        <w:rPr>
          <w:b/>
          <w:color w:val="808080"/>
          <w:spacing w:val="15"/>
        </w:rPr>
        <w:t>Items</w:t>
      </w:r>
    </w:p>
    <w:p w14:paraId="0A81B25C" w14:textId="77777777" w:rsidR="00682F82" w:rsidRPr="001F48A0" w:rsidRDefault="00682F82" w:rsidP="00682F82">
      <w:pPr>
        <w:pStyle w:val="ListParagraph"/>
        <w:tabs>
          <w:tab w:val="left" w:pos="581"/>
        </w:tabs>
        <w:ind w:left="580"/>
        <w:contextualSpacing w:val="0"/>
        <w:rPr>
          <w:b/>
          <w:color w:val="808080"/>
        </w:rPr>
      </w:pPr>
    </w:p>
    <w:p w14:paraId="7D9D00F2" w14:textId="77777777" w:rsidR="00682F82" w:rsidRPr="001F48A0" w:rsidRDefault="00682F82" w:rsidP="00682F82">
      <w:pPr>
        <w:pStyle w:val="ListParagraph"/>
        <w:numPr>
          <w:ilvl w:val="0"/>
          <w:numId w:val="3"/>
        </w:numPr>
        <w:tabs>
          <w:tab w:val="left" w:pos="581"/>
        </w:tabs>
        <w:ind w:hanging="360"/>
        <w:contextualSpacing w:val="0"/>
        <w:rPr>
          <w:b/>
          <w:color w:val="808080"/>
        </w:rPr>
      </w:pPr>
      <w:r w:rsidRPr="001F48A0">
        <w:rPr>
          <w:b/>
          <w:color w:val="808080"/>
          <w:spacing w:val="15"/>
        </w:rPr>
        <w:t>General Announcements Not Requiring Deliberation or Decision</w:t>
      </w:r>
    </w:p>
    <w:p w14:paraId="5690366B" w14:textId="77777777" w:rsidR="00682F82" w:rsidRPr="001F48A0" w:rsidRDefault="00682F82" w:rsidP="00682F82">
      <w:pPr>
        <w:pStyle w:val="BodyText"/>
      </w:pPr>
    </w:p>
    <w:p w14:paraId="75848E45" w14:textId="77777777" w:rsidR="00682F82" w:rsidRPr="001F48A0" w:rsidRDefault="00682F82" w:rsidP="00682F82">
      <w:pPr>
        <w:pStyle w:val="ListParagraph"/>
        <w:numPr>
          <w:ilvl w:val="0"/>
          <w:numId w:val="3"/>
        </w:numPr>
        <w:tabs>
          <w:tab w:val="left" w:pos="581"/>
        </w:tabs>
        <w:ind w:hanging="360"/>
        <w:contextualSpacing w:val="0"/>
        <w:rPr>
          <w:b/>
          <w:color w:val="818181"/>
        </w:rPr>
      </w:pPr>
      <w:r w:rsidRPr="001F48A0">
        <w:rPr>
          <w:b/>
          <w:color w:val="808080"/>
          <w:spacing w:val="15"/>
        </w:rPr>
        <w:t>Public</w:t>
      </w:r>
      <w:r w:rsidRPr="001F48A0">
        <w:rPr>
          <w:b/>
          <w:color w:val="808080"/>
          <w:spacing w:val="38"/>
        </w:rPr>
        <w:t xml:space="preserve"> </w:t>
      </w:r>
      <w:r w:rsidRPr="001F48A0">
        <w:rPr>
          <w:b/>
          <w:color w:val="808080"/>
          <w:spacing w:val="18"/>
        </w:rPr>
        <w:t>Comment</w:t>
      </w:r>
    </w:p>
    <w:p w14:paraId="7952E061" w14:textId="3B372DC9" w:rsidR="00682F82" w:rsidRPr="001F48A0" w:rsidRDefault="00964227" w:rsidP="00964227">
      <w:pPr>
        <w:tabs>
          <w:tab w:val="left" w:pos="581"/>
        </w:tabs>
      </w:pPr>
      <w:r w:rsidRPr="001F48A0">
        <w:tab/>
      </w:r>
      <w:r w:rsidR="00682F82" w:rsidRPr="001F48A0">
        <w:t>No public comment.</w:t>
      </w:r>
    </w:p>
    <w:p w14:paraId="7EA2A4BC" w14:textId="77777777" w:rsidR="00696877" w:rsidRPr="001F48A0" w:rsidRDefault="00696877" w:rsidP="00682F82">
      <w:pPr>
        <w:pStyle w:val="ListParagraph"/>
        <w:tabs>
          <w:tab w:val="left" w:pos="581"/>
        </w:tabs>
      </w:pPr>
    </w:p>
    <w:p w14:paraId="60156FDE" w14:textId="4B451A1A" w:rsidR="57790479" w:rsidRPr="001F48A0" w:rsidRDefault="57790479" w:rsidP="331EA47C">
      <w:pPr>
        <w:pStyle w:val="ListParagraph"/>
        <w:numPr>
          <w:ilvl w:val="0"/>
          <w:numId w:val="3"/>
        </w:numPr>
        <w:tabs>
          <w:tab w:val="left" w:pos="581"/>
        </w:tabs>
        <w:rPr>
          <w:b/>
          <w:bCs/>
          <w:color w:val="808080" w:themeColor="background1" w:themeShade="80"/>
        </w:rPr>
      </w:pPr>
      <w:r w:rsidRPr="001F48A0">
        <w:rPr>
          <w:rFonts w:eastAsiaTheme="minorEastAsia"/>
          <w:b/>
          <w:bCs/>
          <w:color w:val="808080" w:themeColor="background1" w:themeShade="80"/>
        </w:rPr>
        <w:t xml:space="preserve">Correspondence/Communications </w:t>
      </w:r>
    </w:p>
    <w:p w14:paraId="74076D5D" w14:textId="77777777" w:rsidR="00696877" w:rsidRPr="001F48A0" w:rsidRDefault="00696877" w:rsidP="00964227">
      <w:pPr>
        <w:tabs>
          <w:tab w:val="left" w:pos="581"/>
        </w:tabs>
      </w:pPr>
    </w:p>
    <w:p w14:paraId="460F27A0" w14:textId="79D2E0C3" w:rsidR="57790479" w:rsidRPr="001F48A0" w:rsidRDefault="57790479" w:rsidP="331EA47C">
      <w:pPr>
        <w:pStyle w:val="ListParagraph"/>
        <w:numPr>
          <w:ilvl w:val="0"/>
          <w:numId w:val="3"/>
        </w:numPr>
        <w:tabs>
          <w:tab w:val="left" w:pos="581"/>
        </w:tabs>
        <w:rPr>
          <w:b/>
          <w:bCs/>
          <w:color w:val="808080" w:themeColor="background1" w:themeShade="80"/>
        </w:rPr>
      </w:pPr>
      <w:r w:rsidRPr="001F48A0">
        <w:rPr>
          <w:b/>
          <w:bCs/>
          <w:color w:val="808080" w:themeColor="background1" w:themeShade="80"/>
        </w:rPr>
        <w:t xml:space="preserve">General Managers Report </w:t>
      </w:r>
    </w:p>
    <w:p w14:paraId="58CF2598" w14:textId="77777777" w:rsidR="00696877" w:rsidRPr="001F48A0" w:rsidRDefault="00696877" w:rsidP="331EA47C">
      <w:pPr>
        <w:pStyle w:val="ListParagraph"/>
        <w:tabs>
          <w:tab w:val="left" w:pos="581"/>
        </w:tabs>
      </w:pPr>
    </w:p>
    <w:p w14:paraId="436319DD" w14:textId="73AFAE33" w:rsidR="57790479" w:rsidRPr="001F48A0" w:rsidRDefault="57790479" w:rsidP="331EA47C">
      <w:pPr>
        <w:pStyle w:val="ListParagraph"/>
        <w:numPr>
          <w:ilvl w:val="0"/>
          <w:numId w:val="3"/>
        </w:numPr>
        <w:tabs>
          <w:tab w:val="left" w:pos="581"/>
        </w:tabs>
        <w:rPr>
          <w:b/>
          <w:bCs/>
          <w:color w:val="808080" w:themeColor="background1" w:themeShade="80"/>
        </w:rPr>
      </w:pPr>
      <w:r w:rsidRPr="001F48A0">
        <w:rPr>
          <w:b/>
          <w:bCs/>
          <w:color w:val="808080" w:themeColor="background1" w:themeShade="80"/>
        </w:rPr>
        <w:t xml:space="preserve">Approval of </w:t>
      </w:r>
      <w:r w:rsidR="00696877" w:rsidRPr="001F48A0">
        <w:rPr>
          <w:b/>
          <w:bCs/>
          <w:color w:val="808080" w:themeColor="background1" w:themeShade="80"/>
        </w:rPr>
        <w:t>Commission</w:t>
      </w:r>
      <w:r w:rsidRPr="001F48A0">
        <w:rPr>
          <w:b/>
          <w:bCs/>
          <w:color w:val="808080" w:themeColor="background1" w:themeShade="80"/>
        </w:rPr>
        <w:t xml:space="preserve"> Minutes </w:t>
      </w:r>
      <w:r w:rsidRPr="001F48A0">
        <w:t xml:space="preserve">Attachment 1 </w:t>
      </w:r>
    </w:p>
    <w:p w14:paraId="1ACAB1CE" w14:textId="77511219" w:rsidR="1B48967B" w:rsidRPr="001F48A0" w:rsidRDefault="1B48967B" w:rsidP="331EA47C">
      <w:pPr>
        <w:ind w:left="580"/>
      </w:pPr>
      <w:r w:rsidRPr="001F48A0">
        <w:rPr>
          <w:color w:val="000000" w:themeColor="text1"/>
        </w:rPr>
        <w:t xml:space="preserve">On a motion from Commissioner Ling and a second by Commissioner Owen, the minutes from the April 3, </w:t>
      </w:r>
      <w:proofErr w:type="gramStart"/>
      <w:r w:rsidRPr="001F48A0">
        <w:rPr>
          <w:color w:val="000000" w:themeColor="text1"/>
        </w:rPr>
        <w:t>202</w:t>
      </w:r>
      <w:r w:rsidR="041C63B2" w:rsidRPr="001F48A0">
        <w:rPr>
          <w:color w:val="000000" w:themeColor="text1"/>
        </w:rPr>
        <w:t>5</w:t>
      </w:r>
      <w:proofErr w:type="gramEnd"/>
      <w:r w:rsidR="041C63B2" w:rsidRPr="001F48A0">
        <w:rPr>
          <w:color w:val="000000" w:themeColor="text1"/>
        </w:rPr>
        <w:t xml:space="preserve"> </w:t>
      </w:r>
      <w:r w:rsidRPr="001F48A0">
        <w:rPr>
          <w:color w:val="000000" w:themeColor="text1"/>
        </w:rPr>
        <w:t xml:space="preserve">meeting were approved. </w:t>
      </w:r>
      <w:r w:rsidRPr="001F48A0">
        <w:t xml:space="preserve"> </w:t>
      </w:r>
    </w:p>
    <w:p w14:paraId="5BD09067" w14:textId="77777777" w:rsidR="00696877" w:rsidRPr="001F48A0" w:rsidRDefault="00696877" w:rsidP="331EA47C">
      <w:pPr>
        <w:ind w:left="580"/>
      </w:pPr>
    </w:p>
    <w:p w14:paraId="5CE91DCC" w14:textId="3E77A01E" w:rsidR="57790479" w:rsidRPr="001F48A0" w:rsidRDefault="57790479" w:rsidP="331EA47C">
      <w:pPr>
        <w:pStyle w:val="ListParagraph"/>
        <w:numPr>
          <w:ilvl w:val="0"/>
          <w:numId w:val="3"/>
        </w:numPr>
        <w:tabs>
          <w:tab w:val="left" w:pos="581"/>
        </w:tabs>
        <w:rPr>
          <w:b/>
          <w:bCs/>
          <w:color w:val="808080" w:themeColor="background1" w:themeShade="80"/>
        </w:rPr>
      </w:pPr>
      <w:r w:rsidRPr="001F48A0">
        <w:rPr>
          <w:b/>
          <w:bCs/>
          <w:color w:val="808080" w:themeColor="background1" w:themeShade="80"/>
        </w:rPr>
        <w:t xml:space="preserve">Financial Report </w:t>
      </w:r>
      <w:r w:rsidR="09030A60" w:rsidRPr="001F48A0">
        <w:t>Attachment 2</w:t>
      </w:r>
    </w:p>
    <w:p w14:paraId="2C9CB89A" w14:textId="7BF5483A" w:rsidR="00696877" w:rsidRPr="001F48A0" w:rsidRDefault="00964227" w:rsidP="00964227">
      <w:pPr>
        <w:tabs>
          <w:tab w:val="left" w:pos="581"/>
        </w:tabs>
        <w:ind w:left="580"/>
      </w:pPr>
      <w:r w:rsidRPr="001F48A0">
        <w:t xml:space="preserve">Julie Mefferd gave the Financial Report. </w:t>
      </w:r>
    </w:p>
    <w:p w14:paraId="4BE80502" w14:textId="77777777" w:rsidR="00964227" w:rsidRPr="001F48A0" w:rsidRDefault="00964227" w:rsidP="00964227">
      <w:pPr>
        <w:tabs>
          <w:tab w:val="left" w:pos="581"/>
        </w:tabs>
        <w:ind w:left="580"/>
      </w:pPr>
    </w:p>
    <w:p w14:paraId="19C459DF" w14:textId="73A68CE3" w:rsidR="09030A60" w:rsidRPr="001F48A0" w:rsidRDefault="09030A60" w:rsidP="331EA47C">
      <w:pPr>
        <w:pStyle w:val="ListParagraph"/>
        <w:numPr>
          <w:ilvl w:val="0"/>
          <w:numId w:val="3"/>
        </w:numPr>
        <w:tabs>
          <w:tab w:val="left" w:pos="581"/>
        </w:tabs>
        <w:rPr>
          <w:b/>
          <w:bCs/>
          <w:color w:val="808080" w:themeColor="background1" w:themeShade="80"/>
        </w:rPr>
      </w:pPr>
      <w:r w:rsidRPr="001F48A0">
        <w:rPr>
          <w:b/>
          <w:bCs/>
          <w:color w:val="808080" w:themeColor="background1" w:themeShade="80"/>
        </w:rPr>
        <w:t xml:space="preserve">Helen Putnam </w:t>
      </w:r>
      <w:r w:rsidR="6EBDC96B" w:rsidRPr="001F48A0">
        <w:rPr>
          <w:b/>
          <w:bCs/>
          <w:color w:val="808080" w:themeColor="background1" w:themeShade="80"/>
        </w:rPr>
        <w:t>Matching Grant</w:t>
      </w:r>
      <w:r w:rsidR="531DB44B" w:rsidRPr="001F48A0">
        <w:rPr>
          <w:b/>
          <w:bCs/>
          <w:color w:val="808080" w:themeColor="background1" w:themeShade="80"/>
        </w:rPr>
        <w:t xml:space="preserve"> </w:t>
      </w:r>
      <w:r w:rsidR="531DB44B" w:rsidRPr="001F48A0">
        <w:t>Attachment 3</w:t>
      </w:r>
    </w:p>
    <w:p w14:paraId="57526842" w14:textId="16ACC3E1" w:rsidR="00964227" w:rsidRPr="001F48A0" w:rsidRDefault="001F48A0" w:rsidP="001F48A0">
      <w:pPr>
        <w:tabs>
          <w:tab w:val="left" w:pos="581"/>
        </w:tabs>
        <w:ind w:left="580"/>
        <w:rPr>
          <w:color w:val="000000" w:themeColor="text1"/>
        </w:rPr>
      </w:pPr>
      <w:r>
        <w:rPr>
          <w:color w:val="000000" w:themeColor="text1"/>
        </w:rPr>
        <w:tab/>
      </w:r>
      <w:r w:rsidR="69EB0465" w:rsidRPr="001F48A0">
        <w:rPr>
          <w:color w:val="000000" w:themeColor="text1"/>
        </w:rPr>
        <w:t xml:space="preserve"> On a motion from Commissioner Ling and a second by Commissioner Owen</w:t>
      </w:r>
      <w:r w:rsidR="00964227" w:rsidRPr="001F48A0">
        <w:rPr>
          <w:color w:val="000000" w:themeColor="text1"/>
        </w:rPr>
        <w:t>, the</w:t>
      </w:r>
      <w:r w:rsidR="69EB0465" w:rsidRPr="001F48A0">
        <w:rPr>
          <w:color w:val="000000" w:themeColor="text1"/>
        </w:rPr>
        <w:t xml:space="preserve"> </w:t>
      </w:r>
      <w:r w:rsidR="6282C198" w:rsidRPr="001F48A0">
        <w:rPr>
          <w:color w:val="000000" w:themeColor="text1"/>
        </w:rPr>
        <w:t xml:space="preserve">Commission </w:t>
      </w:r>
      <w:r>
        <w:rPr>
          <w:color w:val="000000" w:themeColor="text1"/>
        </w:rPr>
        <w:t xml:space="preserve">      </w:t>
      </w:r>
      <w:proofErr w:type="gramStart"/>
      <w:r w:rsidR="6282C198" w:rsidRPr="001F48A0">
        <w:rPr>
          <w:color w:val="000000" w:themeColor="text1"/>
        </w:rPr>
        <w:t>adopted</w:t>
      </w:r>
      <w:r w:rsidR="69EB0465" w:rsidRPr="001F48A0">
        <w:rPr>
          <w:color w:val="000000" w:themeColor="text1"/>
        </w:rPr>
        <w:t xml:space="preserve"> </w:t>
      </w:r>
      <w:r w:rsidR="39067646" w:rsidRPr="001F48A0">
        <w:rPr>
          <w:color w:val="000000" w:themeColor="text1"/>
        </w:rPr>
        <w:t xml:space="preserve"> Resolution</w:t>
      </w:r>
      <w:proofErr w:type="gramEnd"/>
      <w:r w:rsidR="39067646" w:rsidRPr="001F48A0">
        <w:rPr>
          <w:color w:val="000000" w:themeColor="text1"/>
        </w:rPr>
        <w:t xml:space="preserve"> No. 2025-003</w:t>
      </w:r>
      <w:r w:rsidR="6BC50827" w:rsidRPr="001F48A0">
        <w:rPr>
          <w:color w:val="000000" w:themeColor="text1"/>
        </w:rPr>
        <w:t xml:space="preserve"> </w:t>
      </w:r>
    </w:p>
    <w:p w14:paraId="52659B2D" w14:textId="77777777" w:rsidR="00964227" w:rsidRPr="001F48A0" w:rsidRDefault="00964227" w:rsidP="331EA47C">
      <w:pPr>
        <w:tabs>
          <w:tab w:val="left" w:pos="581"/>
        </w:tabs>
        <w:ind w:left="219"/>
        <w:rPr>
          <w:color w:val="000000" w:themeColor="text1"/>
        </w:rPr>
      </w:pPr>
    </w:p>
    <w:p w14:paraId="6D7EDE00" w14:textId="77777777" w:rsidR="009F70E9" w:rsidRDefault="009F70E9" w:rsidP="001F48A0">
      <w:pPr>
        <w:tabs>
          <w:tab w:val="left" w:pos="581"/>
        </w:tabs>
        <w:ind w:left="581"/>
        <w:rPr>
          <w:color w:val="000000" w:themeColor="text1"/>
        </w:rPr>
      </w:pPr>
    </w:p>
    <w:p w14:paraId="1EF445CC" w14:textId="77777777" w:rsidR="009F70E9" w:rsidRDefault="009F70E9" w:rsidP="001F48A0">
      <w:pPr>
        <w:tabs>
          <w:tab w:val="left" w:pos="581"/>
        </w:tabs>
        <w:ind w:left="581"/>
        <w:rPr>
          <w:color w:val="000000" w:themeColor="text1"/>
        </w:rPr>
      </w:pPr>
    </w:p>
    <w:p w14:paraId="0A04B9EE" w14:textId="77777777" w:rsidR="009F70E9" w:rsidRDefault="009F70E9" w:rsidP="001F48A0">
      <w:pPr>
        <w:tabs>
          <w:tab w:val="left" w:pos="581"/>
        </w:tabs>
        <w:ind w:left="581"/>
        <w:rPr>
          <w:color w:val="000000" w:themeColor="text1"/>
        </w:rPr>
      </w:pPr>
    </w:p>
    <w:p w14:paraId="562FC076" w14:textId="1C267289" w:rsidR="69EB0465" w:rsidRPr="001F48A0" w:rsidRDefault="15CD3FD3" w:rsidP="001F48A0">
      <w:pPr>
        <w:tabs>
          <w:tab w:val="left" w:pos="581"/>
        </w:tabs>
        <w:ind w:left="581"/>
      </w:pPr>
      <w:r w:rsidRPr="001F48A0">
        <w:rPr>
          <w:color w:val="000000" w:themeColor="text1"/>
        </w:rPr>
        <w:t xml:space="preserve">Resolution of the Board of Commissioners determining that the </w:t>
      </w:r>
      <w:proofErr w:type="gramStart"/>
      <w:r w:rsidRPr="001F48A0">
        <w:rPr>
          <w:color w:val="000000" w:themeColor="text1"/>
        </w:rPr>
        <w:t>District</w:t>
      </w:r>
      <w:proofErr w:type="gramEnd"/>
      <w:r w:rsidRPr="001F48A0">
        <w:rPr>
          <w:color w:val="000000" w:themeColor="text1"/>
        </w:rPr>
        <w:t xml:space="preserve"> is not paying more, or receiving less, than Fair Market Value for the CE and Rec Covenant to be acquired by the District as a condition of Matching Grant Funding for the Helen Putnam Regional Park Extension project.  </w:t>
      </w:r>
    </w:p>
    <w:p w14:paraId="5D0F6CE0" w14:textId="3A8D1ECC" w:rsidR="331EA47C" w:rsidRPr="001F48A0" w:rsidRDefault="331EA47C" w:rsidP="331EA47C">
      <w:pPr>
        <w:tabs>
          <w:tab w:val="left" w:pos="581"/>
        </w:tabs>
        <w:ind w:left="219"/>
        <w:rPr>
          <w:color w:val="000000" w:themeColor="text1"/>
        </w:rPr>
      </w:pPr>
    </w:p>
    <w:p w14:paraId="1D77D2E9" w14:textId="788586A1" w:rsidR="531DB44B" w:rsidRPr="001F48A0" w:rsidRDefault="531DB44B" w:rsidP="331EA47C">
      <w:pPr>
        <w:tabs>
          <w:tab w:val="left" w:pos="581"/>
        </w:tabs>
        <w:ind w:left="219"/>
      </w:pPr>
      <w:r w:rsidRPr="001F48A0">
        <w:t xml:space="preserve">Public Comment: </w:t>
      </w:r>
    </w:p>
    <w:p w14:paraId="6F5DD95F" w14:textId="41E060EC" w:rsidR="531DB44B" w:rsidRPr="001F48A0" w:rsidRDefault="531DB44B" w:rsidP="331EA47C">
      <w:pPr>
        <w:pStyle w:val="ListParagraph"/>
        <w:numPr>
          <w:ilvl w:val="0"/>
          <w:numId w:val="2"/>
        </w:numPr>
        <w:tabs>
          <w:tab w:val="left" w:pos="581"/>
        </w:tabs>
        <w:rPr>
          <w:rFonts w:eastAsiaTheme="minorEastAsia"/>
        </w:rPr>
      </w:pPr>
      <w:r w:rsidRPr="001F48A0">
        <w:t xml:space="preserve">Tamara </w:t>
      </w:r>
      <w:r w:rsidR="6E6042E4" w:rsidRPr="001F48A0">
        <w:t>Galanter</w:t>
      </w:r>
      <w:r w:rsidR="36E9E370" w:rsidRPr="001F48A0">
        <w:t xml:space="preserve">, Counsel from </w:t>
      </w:r>
      <w:r w:rsidR="36E9E370" w:rsidRPr="001F48A0">
        <w:rPr>
          <w:rFonts w:eastAsiaTheme="minorEastAsia"/>
        </w:rPr>
        <w:t>Shute, Mihaly &amp; Weinberger LLP</w:t>
      </w:r>
    </w:p>
    <w:p w14:paraId="1FCBD8EA" w14:textId="403E6B62" w:rsidR="331EA47C" w:rsidRPr="001F48A0" w:rsidRDefault="331EA47C" w:rsidP="331EA47C">
      <w:pPr>
        <w:pStyle w:val="ListParagraph"/>
        <w:tabs>
          <w:tab w:val="left" w:pos="581"/>
        </w:tabs>
        <w:ind w:left="940"/>
        <w:rPr>
          <w:rFonts w:eastAsiaTheme="minorEastAsia"/>
        </w:rPr>
      </w:pPr>
    </w:p>
    <w:p w14:paraId="0D8A98FE" w14:textId="7CD1F4FD" w:rsidR="531DB44B" w:rsidRPr="001F48A0" w:rsidRDefault="531DB44B" w:rsidP="331EA47C">
      <w:pPr>
        <w:pStyle w:val="ListParagraph"/>
        <w:numPr>
          <w:ilvl w:val="0"/>
          <w:numId w:val="3"/>
        </w:numPr>
        <w:tabs>
          <w:tab w:val="left" w:pos="581"/>
        </w:tabs>
        <w:rPr>
          <w:b/>
          <w:bCs/>
          <w:color w:val="808080" w:themeColor="background1" w:themeShade="80"/>
        </w:rPr>
      </w:pPr>
      <w:r w:rsidRPr="001F48A0">
        <w:rPr>
          <w:b/>
          <w:bCs/>
          <w:color w:val="808080" w:themeColor="background1" w:themeShade="80"/>
        </w:rPr>
        <w:t>Ad Hoc Committe</w:t>
      </w:r>
      <w:r w:rsidR="5D85739E" w:rsidRPr="001F48A0">
        <w:rPr>
          <w:b/>
          <w:bCs/>
          <w:color w:val="808080" w:themeColor="background1" w:themeShade="80"/>
        </w:rPr>
        <w:t>e</w:t>
      </w:r>
      <w:r w:rsidRPr="001F48A0">
        <w:rPr>
          <w:b/>
          <w:bCs/>
          <w:color w:val="808080" w:themeColor="background1" w:themeShade="80"/>
        </w:rPr>
        <w:t xml:space="preserve"> Reports</w:t>
      </w:r>
    </w:p>
    <w:p w14:paraId="79CB7ABC" w14:textId="708F8F73" w:rsidR="503914C1" w:rsidRPr="009F70E9" w:rsidRDefault="503914C1" w:rsidP="331EA47C">
      <w:pPr>
        <w:pStyle w:val="ListParagraph"/>
        <w:numPr>
          <w:ilvl w:val="0"/>
          <w:numId w:val="1"/>
        </w:numPr>
        <w:tabs>
          <w:tab w:val="left" w:pos="581"/>
        </w:tabs>
      </w:pPr>
      <w:r w:rsidRPr="009F70E9">
        <w:t xml:space="preserve">No </w:t>
      </w:r>
      <w:r w:rsidR="1E521709" w:rsidRPr="009F70E9">
        <w:t>reports</w:t>
      </w:r>
    </w:p>
    <w:p w14:paraId="0ED57052" w14:textId="77777777" w:rsidR="009F70E9" w:rsidRPr="009F70E9" w:rsidRDefault="009F70E9" w:rsidP="009F70E9">
      <w:pPr>
        <w:pStyle w:val="ListParagraph"/>
        <w:tabs>
          <w:tab w:val="left" w:pos="581"/>
        </w:tabs>
        <w:rPr>
          <w:color w:val="808080" w:themeColor="background1" w:themeShade="80"/>
        </w:rPr>
      </w:pPr>
    </w:p>
    <w:p w14:paraId="5F780E99" w14:textId="1289C40E" w:rsidR="531DB44B" w:rsidRPr="009F70E9" w:rsidRDefault="531DB44B" w:rsidP="331EA47C">
      <w:pPr>
        <w:pStyle w:val="ListParagraph"/>
        <w:numPr>
          <w:ilvl w:val="0"/>
          <w:numId w:val="3"/>
        </w:numPr>
        <w:tabs>
          <w:tab w:val="left" w:pos="581"/>
        </w:tabs>
        <w:rPr>
          <w:b/>
          <w:bCs/>
          <w:color w:val="808080" w:themeColor="background1" w:themeShade="80"/>
        </w:rPr>
      </w:pPr>
      <w:r w:rsidRPr="001F48A0">
        <w:rPr>
          <w:b/>
          <w:bCs/>
          <w:color w:val="808080" w:themeColor="background1" w:themeShade="80"/>
        </w:rPr>
        <w:t xml:space="preserve">Projects in Negotiations </w:t>
      </w:r>
      <w:r w:rsidRPr="001F48A0">
        <w:t>Attachment 4</w:t>
      </w:r>
    </w:p>
    <w:p w14:paraId="3B44889D" w14:textId="77777777" w:rsidR="009F70E9" w:rsidRPr="001F48A0" w:rsidRDefault="009F70E9" w:rsidP="009F70E9">
      <w:pPr>
        <w:pStyle w:val="ListParagraph"/>
        <w:tabs>
          <w:tab w:val="left" w:pos="581"/>
        </w:tabs>
        <w:ind w:left="580"/>
        <w:rPr>
          <w:b/>
          <w:bCs/>
          <w:color w:val="808080" w:themeColor="background1" w:themeShade="80"/>
        </w:rPr>
      </w:pPr>
    </w:p>
    <w:p w14:paraId="5660BE4A" w14:textId="74466D18" w:rsidR="531DB44B" w:rsidRPr="001F48A0" w:rsidRDefault="531DB44B" w:rsidP="331EA47C">
      <w:pPr>
        <w:pStyle w:val="ListParagraph"/>
        <w:numPr>
          <w:ilvl w:val="0"/>
          <w:numId w:val="3"/>
        </w:numPr>
        <w:tabs>
          <w:tab w:val="left" w:pos="581"/>
        </w:tabs>
        <w:rPr>
          <w:b/>
          <w:bCs/>
          <w:color w:val="808080" w:themeColor="background1" w:themeShade="80"/>
        </w:rPr>
      </w:pPr>
      <w:r w:rsidRPr="001F48A0">
        <w:rPr>
          <w:b/>
          <w:bCs/>
          <w:color w:val="808080" w:themeColor="background1" w:themeShade="80"/>
        </w:rPr>
        <w:t xml:space="preserve">Next Suggested Meeting </w:t>
      </w:r>
    </w:p>
    <w:p w14:paraId="54FF5B6A" w14:textId="115E582E" w:rsidR="5043569B" w:rsidRPr="001F48A0" w:rsidRDefault="5043569B" w:rsidP="331EA47C">
      <w:pPr>
        <w:tabs>
          <w:tab w:val="left" w:pos="581"/>
        </w:tabs>
        <w:ind w:firstLine="580"/>
      </w:pPr>
      <w:r w:rsidRPr="001F48A0">
        <w:t xml:space="preserve">Next meeting is previously scheduled for July 10 may be moved. More details to be determined. </w:t>
      </w:r>
    </w:p>
    <w:p w14:paraId="1619A20F" w14:textId="1A887331" w:rsidR="331EA47C" w:rsidRPr="001F48A0" w:rsidRDefault="331EA47C" w:rsidP="331EA47C">
      <w:pPr>
        <w:tabs>
          <w:tab w:val="left" w:pos="581"/>
        </w:tabs>
        <w:rPr>
          <w:b/>
          <w:bCs/>
          <w:color w:val="808080" w:themeColor="background1" w:themeShade="80"/>
        </w:rPr>
      </w:pPr>
    </w:p>
    <w:p w14:paraId="4BBD6599" w14:textId="57B3C912" w:rsidR="531DB44B" w:rsidRPr="001F48A0" w:rsidRDefault="531DB44B" w:rsidP="331EA47C">
      <w:pPr>
        <w:pStyle w:val="ListParagraph"/>
        <w:numPr>
          <w:ilvl w:val="0"/>
          <w:numId w:val="3"/>
        </w:numPr>
        <w:tabs>
          <w:tab w:val="left" w:pos="581"/>
        </w:tabs>
        <w:rPr>
          <w:b/>
          <w:bCs/>
          <w:color w:val="808080" w:themeColor="background1" w:themeShade="80"/>
        </w:rPr>
      </w:pPr>
      <w:r w:rsidRPr="001F48A0">
        <w:rPr>
          <w:b/>
          <w:bCs/>
          <w:color w:val="808080" w:themeColor="background1" w:themeShade="80"/>
        </w:rPr>
        <w:t xml:space="preserve">Adjournment </w:t>
      </w:r>
    </w:p>
    <w:p w14:paraId="6E434B73" w14:textId="65826A17" w:rsidR="531DB44B" w:rsidRPr="001F48A0" w:rsidRDefault="00054AD1" w:rsidP="331EA47C">
      <w:pPr>
        <w:pStyle w:val="ListParagraph"/>
        <w:tabs>
          <w:tab w:val="left" w:pos="581"/>
        </w:tabs>
        <w:ind w:left="580" w:hanging="361"/>
      </w:pPr>
      <w:r>
        <w:tab/>
      </w:r>
      <w:r w:rsidR="531DB44B" w:rsidRPr="001F48A0">
        <w:t>Chair Mendoza a</w:t>
      </w:r>
      <w:r w:rsidR="6B533D5B" w:rsidRPr="001F48A0">
        <w:t>d</w:t>
      </w:r>
      <w:r w:rsidR="531DB44B" w:rsidRPr="001F48A0">
        <w:t xml:space="preserve">journed the meeting at 5:46pm. </w:t>
      </w:r>
    </w:p>
    <w:p w14:paraId="47F2C8A8" w14:textId="38880F95" w:rsidR="331EA47C" w:rsidRPr="001F48A0" w:rsidRDefault="331EA47C" w:rsidP="331EA47C">
      <w:pPr>
        <w:pStyle w:val="ListParagraph"/>
        <w:tabs>
          <w:tab w:val="left" w:pos="581"/>
        </w:tabs>
        <w:ind w:left="580" w:hanging="361"/>
        <w:rPr>
          <w:b/>
          <w:bCs/>
          <w:color w:val="808080" w:themeColor="background1" w:themeShade="80"/>
        </w:rPr>
      </w:pPr>
    </w:p>
    <w:p w14:paraId="1853401F" w14:textId="77777777" w:rsidR="0060002E" w:rsidRPr="001F48A0" w:rsidRDefault="0060002E"/>
    <w:sectPr w:rsidR="0060002E" w:rsidRPr="001F48A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2E9F2" w14:textId="77777777" w:rsidR="00176BFF" w:rsidRDefault="00176BFF" w:rsidP="00837AF7">
      <w:r>
        <w:separator/>
      </w:r>
    </w:p>
  </w:endnote>
  <w:endnote w:type="continuationSeparator" w:id="0">
    <w:p w14:paraId="440602E8" w14:textId="77777777" w:rsidR="00176BFF" w:rsidRDefault="00176BFF" w:rsidP="00837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B7596C0" w14:paraId="6E059DDC" w14:textId="77777777" w:rsidTr="0B7596C0">
      <w:trPr>
        <w:trHeight w:val="300"/>
      </w:trPr>
      <w:tc>
        <w:tcPr>
          <w:tcW w:w="3120" w:type="dxa"/>
        </w:tcPr>
        <w:p w14:paraId="52DD9D5B" w14:textId="46F2CAF4" w:rsidR="0B7596C0" w:rsidRDefault="0B7596C0" w:rsidP="0B7596C0">
          <w:pPr>
            <w:pStyle w:val="Header"/>
            <w:ind w:left="-115"/>
          </w:pPr>
        </w:p>
      </w:tc>
      <w:tc>
        <w:tcPr>
          <w:tcW w:w="3120" w:type="dxa"/>
        </w:tcPr>
        <w:p w14:paraId="3F6579A8" w14:textId="685CAEF5" w:rsidR="0B7596C0" w:rsidRDefault="0B7596C0" w:rsidP="0B7596C0">
          <w:pPr>
            <w:pStyle w:val="Header"/>
            <w:jc w:val="center"/>
          </w:pPr>
        </w:p>
      </w:tc>
      <w:tc>
        <w:tcPr>
          <w:tcW w:w="3120" w:type="dxa"/>
        </w:tcPr>
        <w:p w14:paraId="4E3F72C5" w14:textId="51D091B8" w:rsidR="0B7596C0" w:rsidRDefault="0B7596C0" w:rsidP="0B7596C0">
          <w:pPr>
            <w:pStyle w:val="Header"/>
            <w:ind w:right="-115"/>
            <w:jc w:val="right"/>
          </w:pPr>
        </w:p>
      </w:tc>
    </w:tr>
  </w:tbl>
  <w:p w14:paraId="7D746397" w14:textId="4CCD6AAE" w:rsidR="0B7596C0" w:rsidRDefault="0B7596C0" w:rsidP="0B7596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F57AA" w14:textId="77777777" w:rsidR="00176BFF" w:rsidRDefault="00176BFF" w:rsidP="00837AF7">
      <w:r>
        <w:separator/>
      </w:r>
    </w:p>
  </w:footnote>
  <w:footnote w:type="continuationSeparator" w:id="0">
    <w:p w14:paraId="5B5C28EA" w14:textId="77777777" w:rsidR="00176BFF" w:rsidRDefault="00176BFF" w:rsidP="00837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D0683" w14:textId="4FD39366" w:rsidR="00837AF7" w:rsidRDefault="0B7596C0" w:rsidP="00696877">
    <w:pPr>
      <w:pStyle w:val="Header"/>
      <w:jc w:val="center"/>
    </w:pPr>
    <w:r>
      <w:rPr>
        <w:noProof/>
      </w:rPr>
      <w:drawing>
        <wp:inline distT="0" distB="0" distL="0" distR="0" wp14:anchorId="4A6E93EB" wp14:editId="583DFE6C">
          <wp:extent cx="1554480" cy="732790"/>
          <wp:effectExtent l="0" t="0" r="7620" b="0"/>
          <wp:docPr id="1437279767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732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C6657"/>
    <w:multiLevelType w:val="hybridMultilevel"/>
    <w:tmpl w:val="8662F146"/>
    <w:lvl w:ilvl="0" w:tplc="BF5243EA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CE3A01CC">
      <w:start w:val="1"/>
      <w:numFmt w:val="bullet"/>
      <w:lvlText w:val="o"/>
      <w:lvlJc w:val="left"/>
      <w:pPr>
        <w:ind w:left="1660" w:hanging="360"/>
      </w:pPr>
      <w:rPr>
        <w:rFonts w:ascii="Courier New" w:hAnsi="Courier New" w:hint="default"/>
      </w:rPr>
    </w:lvl>
    <w:lvl w:ilvl="2" w:tplc="61BABAE4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6C6AACA0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13422FA2">
      <w:start w:val="1"/>
      <w:numFmt w:val="bullet"/>
      <w:lvlText w:val="o"/>
      <w:lvlJc w:val="left"/>
      <w:pPr>
        <w:ind w:left="3820" w:hanging="360"/>
      </w:pPr>
      <w:rPr>
        <w:rFonts w:ascii="Courier New" w:hAnsi="Courier New" w:hint="default"/>
      </w:rPr>
    </w:lvl>
    <w:lvl w:ilvl="5" w:tplc="C0FE73F6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401E2802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3448F9E0">
      <w:start w:val="1"/>
      <w:numFmt w:val="bullet"/>
      <w:lvlText w:val="o"/>
      <w:lvlJc w:val="left"/>
      <w:pPr>
        <w:ind w:left="5980" w:hanging="360"/>
      </w:pPr>
      <w:rPr>
        <w:rFonts w:ascii="Courier New" w:hAnsi="Courier New" w:hint="default"/>
      </w:rPr>
    </w:lvl>
    <w:lvl w:ilvl="8" w:tplc="C25E1E3A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" w15:restartNumberingAfterBreak="0">
    <w:nsid w:val="56058B27"/>
    <w:multiLevelType w:val="hybridMultilevel"/>
    <w:tmpl w:val="7A4E7FF8"/>
    <w:lvl w:ilvl="0" w:tplc="E8F0C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983F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FE56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EA2E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B081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88E0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B478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8EA1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FA26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AD7A5F"/>
    <w:multiLevelType w:val="hybridMultilevel"/>
    <w:tmpl w:val="47366058"/>
    <w:lvl w:ilvl="0" w:tplc="27707390">
      <w:start w:val="1"/>
      <w:numFmt w:val="decimal"/>
      <w:lvlText w:val="%1."/>
      <w:lvlJc w:val="left"/>
      <w:pPr>
        <w:ind w:left="580" w:hanging="361"/>
      </w:pPr>
      <w:rPr>
        <w:rFonts w:hint="default"/>
        <w:b/>
        <w:bCs/>
        <w:color w:val="808080"/>
        <w:spacing w:val="0"/>
        <w:w w:val="100"/>
      </w:rPr>
    </w:lvl>
    <w:lvl w:ilvl="1" w:tplc="44747BD4">
      <w:numFmt w:val="bullet"/>
      <w:lvlText w:val="•"/>
      <w:lvlJc w:val="left"/>
      <w:pPr>
        <w:ind w:left="1540" w:hanging="361"/>
      </w:pPr>
      <w:rPr>
        <w:rFonts w:hint="default"/>
      </w:rPr>
    </w:lvl>
    <w:lvl w:ilvl="2" w:tplc="16AC0BB6">
      <w:numFmt w:val="bullet"/>
      <w:lvlText w:val="•"/>
      <w:lvlJc w:val="left"/>
      <w:pPr>
        <w:ind w:left="2500" w:hanging="361"/>
      </w:pPr>
      <w:rPr>
        <w:rFonts w:hint="default"/>
      </w:rPr>
    </w:lvl>
    <w:lvl w:ilvl="3" w:tplc="B67E7126">
      <w:numFmt w:val="bullet"/>
      <w:lvlText w:val="•"/>
      <w:lvlJc w:val="left"/>
      <w:pPr>
        <w:ind w:left="3460" w:hanging="361"/>
      </w:pPr>
      <w:rPr>
        <w:rFonts w:hint="default"/>
      </w:rPr>
    </w:lvl>
    <w:lvl w:ilvl="4" w:tplc="4D5A01DA">
      <w:numFmt w:val="bullet"/>
      <w:lvlText w:val="•"/>
      <w:lvlJc w:val="left"/>
      <w:pPr>
        <w:ind w:left="4420" w:hanging="361"/>
      </w:pPr>
      <w:rPr>
        <w:rFonts w:hint="default"/>
      </w:rPr>
    </w:lvl>
    <w:lvl w:ilvl="5" w:tplc="5F989F08">
      <w:numFmt w:val="bullet"/>
      <w:lvlText w:val="•"/>
      <w:lvlJc w:val="left"/>
      <w:pPr>
        <w:ind w:left="5380" w:hanging="361"/>
      </w:pPr>
      <w:rPr>
        <w:rFonts w:hint="default"/>
      </w:rPr>
    </w:lvl>
    <w:lvl w:ilvl="6" w:tplc="8A5C5CCC">
      <w:numFmt w:val="bullet"/>
      <w:lvlText w:val="•"/>
      <w:lvlJc w:val="left"/>
      <w:pPr>
        <w:ind w:left="6340" w:hanging="361"/>
      </w:pPr>
      <w:rPr>
        <w:rFonts w:hint="default"/>
      </w:rPr>
    </w:lvl>
    <w:lvl w:ilvl="7" w:tplc="80AA876E">
      <w:numFmt w:val="bullet"/>
      <w:lvlText w:val="•"/>
      <w:lvlJc w:val="left"/>
      <w:pPr>
        <w:ind w:left="7300" w:hanging="361"/>
      </w:pPr>
      <w:rPr>
        <w:rFonts w:hint="default"/>
      </w:rPr>
    </w:lvl>
    <w:lvl w:ilvl="8" w:tplc="E776248C">
      <w:numFmt w:val="bullet"/>
      <w:lvlText w:val="•"/>
      <w:lvlJc w:val="left"/>
      <w:pPr>
        <w:ind w:left="8260" w:hanging="361"/>
      </w:pPr>
      <w:rPr>
        <w:rFonts w:hint="default"/>
      </w:rPr>
    </w:lvl>
  </w:abstractNum>
  <w:num w:numId="1" w16cid:durableId="297343040">
    <w:abstractNumId w:val="1"/>
  </w:num>
  <w:num w:numId="2" w16cid:durableId="542599219">
    <w:abstractNumId w:val="0"/>
  </w:num>
  <w:num w:numId="3" w16cid:durableId="1380475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DD2"/>
    <w:rsid w:val="00054AD1"/>
    <w:rsid w:val="000B6BC6"/>
    <w:rsid w:val="00176BFF"/>
    <w:rsid w:val="001A60A7"/>
    <w:rsid w:val="001F20C5"/>
    <w:rsid w:val="001F48A0"/>
    <w:rsid w:val="002050B8"/>
    <w:rsid w:val="0022419D"/>
    <w:rsid w:val="002D3C2D"/>
    <w:rsid w:val="00376CA2"/>
    <w:rsid w:val="00397DD2"/>
    <w:rsid w:val="00440E13"/>
    <w:rsid w:val="005775D3"/>
    <w:rsid w:val="0060002E"/>
    <w:rsid w:val="00682F82"/>
    <w:rsid w:val="006943D9"/>
    <w:rsid w:val="00696877"/>
    <w:rsid w:val="00721C25"/>
    <w:rsid w:val="007537E1"/>
    <w:rsid w:val="007A2F92"/>
    <w:rsid w:val="00837AF7"/>
    <w:rsid w:val="008A69FC"/>
    <w:rsid w:val="00930AB7"/>
    <w:rsid w:val="00943E5C"/>
    <w:rsid w:val="00964227"/>
    <w:rsid w:val="009F70E9"/>
    <w:rsid w:val="00A017EE"/>
    <w:rsid w:val="00A565D6"/>
    <w:rsid w:val="00B75A11"/>
    <w:rsid w:val="00BC005F"/>
    <w:rsid w:val="00BC541F"/>
    <w:rsid w:val="00C104ED"/>
    <w:rsid w:val="00C73A03"/>
    <w:rsid w:val="00C86713"/>
    <w:rsid w:val="041C63B2"/>
    <w:rsid w:val="0531CAA1"/>
    <w:rsid w:val="066B5594"/>
    <w:rsid w:val="08D4EAE5"/>
    <w:rsid w:val="09030A60"/>
    <w:rsid w:val="09229661"/>
    <w:rsid w:val="0B7596C0"/>
    <w:rsid w:val="1115592F"/>
    <w:rsid w:val="12B0EC64"/>
    <w:rsid w:val="132FA077"/>
    <w:rsid w:val="14CBA228"/>
    <w:rsid w:val="14EB7F20"/>
    <w:rsid w:val="15CD3FD3"/>
    <w:rsid w:val="1B48967B"/>
    <w:rsid w:val="1E521709"/>
    <w:rsid w:val="20037C82"/>
    <w:rsid w:val="226B397D"/>
    <w:rsid w:val="23F3A002"/>
    <w:rsid w:val="2518E1C1"/>
    <w:rsid w:val="27D90090"/>
    <w:rsid w:val="29C2637B"/>
    <w:rsid w:val="2CA3B3D0"/>
    <w:rsid w:val="2DE81412"/>
    <w:rsid w:val="331EA47C"/>
    <w:rsid w:val="35EE9C95"/>
    <w:rsid w:val="36E9E370"/>
    <w:rsid w:val="3718C559"/>
    <w:rsid w:val="39067646"/>
    <w:rsid w:val="3B91B423"/>
    <w:rsid w:val="48F3D6F8"/>
    <w:rsid w:val="4A8B4D8D"/>
    <w:rsid w:val="4E8FFDA6"/>
    <w:rsid w:val="503914C1"/>
    <w:rsid w:val="5043569B"/>
    <w:rsid w:val="531DB44B"/>
    <w:rsid w:val="543F4F6C"/>
    <w:rsid w:val="57790479"/>
    <w:rsid w:val="5847D962"/>
    <w:rsid w:val="5D85739E"/>
    <w:rsid w:val="6282C198"/>
    <w:rsid w:val="675000C1"/>
    <w:rsid w:val="68915B14"/>
    <w:rsid w:val="69EB0465"/>
    <w:rsid w:val="6A80E9E1"/>
    <w:rsid w:val="6B533D5B"/>
    <w:rsid w:val="6BC50827"/>
    <w:rsid w:val="6C9BA48E"/>
    <w:rsid w:val="6E1F49E8"/>
    <w:rsid w:val="6E6042E4"/>
    <w:rsid w:val="6EBDC96B"/>
    <w:rsid w:val="7356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A3FBA"/>
  <w15:chartTrackingRefBased/>
  <w15:docId w15:val="{98F53701-E3D3-42F6-9418-551F490D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76C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7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7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D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D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D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D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D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D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D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97D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D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D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D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D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D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D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D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7D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7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7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7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7D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397D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7D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D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7DD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37A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7AF7"/>
    <w:rPr>
      <w:rFonts w:ascii="Calibri" w:eastAsia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37A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AF7"/>
    <w:rPr>
      <w:rFonts w:ascii="Calibri" w:eastAsia="Calibri" w:hAnsi="Calibri" w:cs="Calibri"/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943E5C"/>
  </w:style>
  <w:style w:type="character" w:customStyle="1" w:styleId="BodyTextChar">
    <w:name w:val="Body Text Char"/>
    <w:basedOn w:val="DefaultParagraphFont"/>
    <w:link w:val="BodyText"/>
    <w:uiPriority w:val="1"/>
    <w:rsid w:val="00943E5C"/>
    <w:rPr>
      <w:rFonts w:ascii="Calibri" w:eastAsia="Calibri" w:hAnsi="Calibri" w:cs="Calibri"/>
      <w:kern w:val="0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05368CF814545934B2575485A0794" ma:contentTypeVersion="16" ma:contentTypeDescription="Create a new document." ma:contentTypeScope="" ma:versionID="7d5195f06282e892501dbd69bf4a054b">
  <xsd:schema xmlns:xsd="http://www.w3.org/2001/XMLSchema" xmlns:xs="http://www.w3.org/2001/XMLSchema" xmlns:p="http://schemas.microsoft.com/office/2006/metadata/properties" xmlns:ns2="b00a3dd4-ca5d-476a-b86f-4421ce3fa68a" xmlns:ns3="ee4a4019-b5a8-404f-b4d1-b810769844e2" targetNamespace="http://schemas.microsoft.com/office/2006/metadata/properties" ma:root="true" ma:fieldsID="d5592ad3313d5ac31d8411cdb865b94f" ns2:_="" ns3:_="">
    <xsd:import namespace="b00a3dd4-ca5d-476a-b86f-4421ce3fa68a"/>
    <xsd:import namespace="ee4a4019-b5a8-404f-b4d1-b810769844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a3dd4-ca5d-476a-b86f-4421ce3fa6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a548d21-6c86-4e33-8bb5-3bd772540c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a4019-b5a8-404f-b4d1-b810769844e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b5d7a5e-4e0b-4a64-a645-7c3ddb70f54d}" ma:internalName="TaxCatchAll" ma:showField="CatchAllData" ma:web="ee4a4019-b5a8-404f-b4d1-b810769844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4a4019-b5a8-404f-b4d1-b810769844e2" xsi:nil="true"/>
    <lcf76f155ced4ddcb4097134ff3c332f xmlns="b00a3dd4-ca5d-476a-b86f-4421ce3fa68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5A192E-E99E-4B55-8BC9-7FDF04588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0a3dd4-ca5d-476a-b86f-4421ce3fa68a"/>
    <ds:schemaRef ds:uri="ee4a4019-b5a8-404f-b4d1-b810769844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4C57C5-5D41-49AD-92B0-BB79F19BE97D}">
  <ds:schemaRefs>
    <ds:schemaRef ds:uri="http://purl.org/dc/elements/1.1/"/>
    <ds:schemaRef ds:uri="http://schemas.microsoft.com/office/2006/metadata/properties"/>
    <ds:schemaRef ds:uri="b00a3dd4-ca5d-476a-b86f-4421ce3fa68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e4a4019-b5a8-404f-b4d1-b810769844e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73566A9-FB8A-4BE2-B9FE-9BE786FE99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331</Words>
  <Characters>1800</Characters>
  <Application>Microsoft Office Word</Application>
  <DocSecurity>0</DocSecurity>
  <Lines>37</Lines>
  <Paragraphs>12</Paragraphs>
  <ScaleCrop>false</ScaleCrop>
  <Company>County of Sonoma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Nozzari</dc:creator>
  <cp:keywords/>
  <dc:description/>
  <cp:lastModifiedBy>Sara Ortiz</cp:lastModifiedBy>
  <cp:revision>28</cp:revision>
  <dcterms:created xsi:type="dcterms:W3CDTF">2025-07-03T15:17:00Z</dcterms:created>
  <dcterms:modified xsi:type="dcterms:W3CDTF">2025-08-02T04:45:00Z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0x01010056605368CF814545934B2575485A0794</vt:lpwstr>
  </property>
  <property fmtid="{D5CDD505-2E9C-101B-9397-08002B2CF9AE}" pid="3" name="MediaServiceImageTags">
    <vt:lpwstr/>
  </property>
</Properties>
</file>